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20"/>
          <w:tab w:val="left" w:pos="5760"/>
        </w:tabs>
        <w:spacing w:after="96" w:line="276" w:lineRule="auto"/>
        <w:ind w:right="2880"/>
        <w:contextualSpacing w:val="0"/>
        <w:jc w:val="center"/>
      </w:pPr>
      <w:bookmarkStart w:colFirst="0" w:colLast="0" w:name="_av5nxqhzqii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“Ozymandias” </w:t>
      </w:r>
    </w:p>
    <w:p w:rsidR="00000000" w:rsidDel="00000000" w:rsidP="00000000" w:rsidRDefault="00000000" w:rsidRPr="00000000">
      <w:pPr>
        <w:tabs>
          <w:tab w:val="left" w:pos="720"/>
          <w:tab w:val="left" w:pos="5760"/>
        </w:tabs>
        <w:spacing w:after="96" w:line="276" w:lineRule="auto"/>
        <w:ind w:right="2880"/>
        <w:contextualSpacing w:val="0"/>
        <w:jc w:val="center"/>
      </w:pPr>
      <w:bookmarkStart w:colFirst="0" w:colLast="0" w:name="_ciy9lkexmeye" w:id="1"/>
      <w:bookmarkEnd w:id="1"/>
      <w:r w:rsidDel="00000000" w:rsidR="00000000" w:rsidRPr="00000000">
        <w:rPr>
          <w:sz w:val="26"/>
          <w:szCs w:val="26"/>
          <w:rtl w:val="0"/>
        </w:rPr>
        <w:t xml:space="preserve">Percy Bysshe Shelley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I met a traveller from an antique land,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Who said—“Two vast and trunkless legs of stone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Stand in the desert. . . . Near them, on the sand,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Half sunk a shattered visage lies, whose frown,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And wrinkled lip, and sneer of cold command,</w:t>
        <w:tab/>
        <w:tab/>
        <w:tab/>
        <w:tab/>
        <w:tab/>
        <w:t xml:space="preserve">5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Tell that its sculptor well those passions read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Which yet survive, stamped on these lifeless things,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The hand that mocked them, and the heart that fed;</w:t>
      </w:r>
    </w:p>
    <w:p w:rsidR="00000000" w:rsidDel="00000000" w:rsidP="00000000" w:rsidRDefault="00000000" w:rsidRPr="00000000">
      <w:pPr>
        <w:tabs>
          <w:tab w:val="left" w:pos="4215"/>
        </w:tabs>
        <w:spacing w:after="120" w:before="120" w:line="276" w:lineRule="auto"/>
        <w:contextualSpacing w:val="0"/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And on the pedestal, these words appear:</w:t>
        <w:tab/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My name is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Ozymandias</w:t>
      </w: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, King of Kings;</w:t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Look on my Works, ye Mighty, and despair!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Nothing beside remains. Round the decay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Of that colossal Wreck, boundless and bare</w:t>
      </w:r>
    </w:p>
    <w:p w:rsidR="00000000" w:rsidDel="00000000" w:rsidP="00000000" w:rsidRDefault="00000000" w:rsidRPr="00000000">
      <w:pPr>
        <w:spacing w:after="120" w:before="12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505050"/>
          <w:rtl w:val="0"/>
        </w:rPr>
        <w:t xml:space="preserve">The lone and level sands stretch far away.”</w:t>
      </w:r>
    </w:p>
    <w:p w:rsidR="00000000" w:rsidDel="00000000" w:rsidP="00000000" w:rsidRDefault="00000000" w:rsidRPr="00000000">
      <w:pPr>
        <w:tabs>
          <w:tab w:val="left" w:pos="5760"/>
        </w:tabs>
        <w:spacing w:after="120" w:before="48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120" w:before="48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This </w:t>
      </w:r>
      <w:r w:rsidDel="00000000" w:rsidR="00000000" w:rsidRPr="00000000">
        <w:rPr>
          <w:i w:val="1"/>
          <w:rtl w:val="0"/>
        </w:rPr>
        <w:t xml:space="preserve">text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is in the public domain.</w:t>
      </w:r>
    </w:p>
    <w:sectPr>
      <w:headerReference r:id="rId5" w:type="default"/>
      <w:footerReference r:id="rId6" w:type="default"/>
      <w:pgSz w:h="15840" w:w="12240"/>
      <w:pgMar w:bottom="1267" w:top="1987" w:left="806" w:right="8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Grade 10: Macbeth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Rule="auto"/>
      <w:contextualSpacing w:val="0"/>
    </w:pPr>
    <w:r w:rsidDel="00000000" w:rsidR="00000000" w:rsidRPr="00000000">
      <w:drawing>
        <wp:inline distB="0" distT="0" distL="0" distR="0">
          <wp:extent cx="6734175" cy="70104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4175" cy="701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