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F8" w:rsidRDefault="00376A3D">
      <w:pPr>
        <w:pStyle w:val="normal0"/>
        <w:spacing w:after="120" w:line="264" w:lineRule="auto"/>
        <w:jc w:val="center"/>
      </w:pPr>
      <w:r>
        <w:rPr>
          <w:b/>
          <w:sz w:val="24"/>
          <w:szCs w:val="24"/>
        </w:rPr>
        <w:t>OPTIC Strategy</w:t>
      </w:r>
      <w:r>
        <w:rPr>
          <w:b/>
          <w:sz w:val="24"/>
          <w:szCs w:val="24"/>
          <w:vertAlign w:val="superscript"/>
        </w:rPr>
        <w:footnoteReference w:id="1"/>
      </w:r>
    </w:p>
    <w:tbl>
      <w:tblPr>
        <w:tblStyle w:val="a"/>
        <w:tblW w:w="11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8"/>
        <w:gridCol w:w="10278"/>
      </w:tblGrid>
      <w:tr w:rsidR="00FA5DF8">
        <w:tc>
          <w:tcPr>
            <w:tcW w:w="738" w:type="dxa"/>
            <w:vMerge w:val="restart"/>
            <w:shd w:val="clear" w:color="auto" w:fill="BFBFBF"/>
          </w:tcPr>
          <w:p w:rsidR="00FA5DF8" w:rsidRDefault="00376A3D">
            <w:pPr>
              <w:pStyle w:val="normal0"/>
              <w:spacing w:before="120" w:after="120" w:line="264" w:lineRule="auto"/>
              <w:contextualSpacing w:val="0"/>
              <w:jc w:val="center"/>
            </w:pPr>
            <w:r>
              <w:rPr>
                <w:b/>
                <w:sz w:val="72"/>
                <w:szCs w:val="72"/>
              </w:rPr>
              <w:t>O</w:t>
            </w:r>
          </w:p>
        </w:tc>
        <w:tc>
          <w:tcPr>
            <w:tcW w:w="10278" w:type="dxa"/>
          </w:tcPr>
          <w:p w:rsidR="00FA5DF8" w:rsidRDefault="00376A3D">
            <w:pPr>
              <w:pStyle w:val="normal0"/>
              <w:spacing w:before="120" w:after="120" w:line="264" w:lineRule="auto"/>
              <w:contextualSpacing w:val="0"/>
            </w:pPr>
            <w:r>
              <w:rPr>
                <w:b/>
              </w:rPr>
              <w:t>O</w:t>
            </w:r>
            <w:r>
              <w:t xml:space="preserve"> is for </w:t>
            </w:r>
            <w:r>
              <w:rPr>
                <w:b/>
              </w:rPr>
              <w:t>Overview</w:t>
            </w:r>
            <w:r>
              <w:t>. Conduct a brief overview of the main subject of the visual.</w:t>
            </w:r>
          </w:p>
        </w:tc>
      </w:tr>
      <w:tr w:rsidR="00FA5DF8">
        <w:tc>
          <w:tcPr>
            <w:tcW w:w="738" w:type="dxa"/>
            <w:vMerge/>
            <w:shd w:val="clear" w:color="auto" w:fill="BFBFBF"/>
          </w:tcPr>
          <w:p w:rsidR="00FA5DF8" w:rsidRDefault="00FA5DF8">
            <w:pPr>
              <w:pStyle w:val="normal0"/>
              <w:spacing w:before="120" w:after="120" w:line="264" w:lineRule="auto"/>
              <w:contextualSpacing w:val="0"/>
              <w:jc w:val="center"/>
            </w:pPr>
          </w:p>
        </w:tc>
        <w:tc>
          <w:tcPr>
            <w:tcW w:w="10278" w:type="dxa"/>
          </w:tcPr>
          <w:p w:rsidR="00FA5DF8" w:rsidRDefault="00376A3D">
            <w:pPr>
              <w:pStyle w:val="normal0"/>
              <w:spacing w:before="120" w:after="120" w:line="264" w:lineRule="auto"/>
              <w:contextualSpacing w:val="0"/>
            </w:pPr>
            <w:r>
              <w:t>A man holding daggers walks through a doorway. A woman ushers him into the room and stands with a finger to her lips suggesting he should be quiet.</w:t>
            </w:r>
          </w:p>
          <w:p w:rsidR="00FA5DF8" w:rsidRDefault="00FA5DF8">
            <w:pPr>
              <w:pStyle w:val="normal0"/>
              <w:spacing w:before="120" w:after="120" w:line="264" w:lineRule="auto"/>
              <w:contextualSpacing w:val="0"/>
            </w:pPr>
          </w:p>
        </w:tc>
      </w:tr>
      <w:tr w:rsidR="00FA5DF8">
        <w:tc>
          <w:tcPr>
            <w:tcW w:w="738" w:type="dxa"/>
            <w:vMerge w:val="restart"/>
            <w:shd w:val="clear" w:color="auto" w:fill="BFBFBF"/>
          </w:tcPr>
          <w:p w:rsidR="00FA5DF8" w:rsidRDefault="00376A3D">
            <w:pPr>
              <w:pStyle w:val="normal0"/>
              <w:spacing w:before="120" w:after="120" w:line="264" w:lineRule="auto"/>
              <w:contextualSpacing w:val="0"/>
              <w:jc w:val="center"/>
            </w:pPr>
            <w:r>
              <w:rPr>
                <w:b/>
                <w:sz w:val="72"/>
                <w:szCs w:val="72"/>
              </w:rPr>
              <w:t>P</w:t>
            </w:r>
          </w:p>
        </w:tc>
        <w:tc>
          <w:tcPr>
            <w:tcW w:w="10278" w:type="dxa"/>
          </w:tcPr>
          <w:p w:rsidR="00FA5DF8" w:rsidRDefault="00376A3D">
            <w:pPr>
              <w:pStyle w:val="normal0"/>
              <w:spacing w:before="120" w:after="120" w:line="264" w:lineRule="auto"/>
              <w:contextualSpacing w:val="0"/>
            </w:pPr>
            <w:r>
              <w:rPr>
                <w:b/>
              </w:rPr>
              <w:t xml:space="preserve">P </w:t>
            </w:r>
            <w:r>
              <w:t>is for</w:t>
            </w:r>
            <w:r>
              <w:rPr>
                <w:b/>
              </w:rPr>
              <w:t xml:space="preserve"> Parts. </w:t>
            </w:r>
            <w:r>
              <w:t>Scrutinize the parts of the visual. Note any elements or details that seem important.</w:t>
            </w:r>
          </w:p>
        </w:tc>
      </w:tr>
      <w:tr w:rsidR="00FA5DF8">
        <w:tc>
          <w:tcPr>
            <w:tcW w:w="738" w:type="dxa"/>
            <w:vMerge/>
            <w:shd w:val="clear" w:color="auto" w:fill="BFBFBF"/>
          </w:tcPr>
          <w:p w:rsidR="00FA5DF8" w:rsidRDefault="00FA5DF8">
            <w:pPr>
              <w:pStyle w:val="normal0"/>
              <w:spacing w:before="120" w:after="120" w:line="264" w:lineRule="auto"/>
              <w:contextualSpacing w:val="0"/>
              <w:jc w:val="center"/>
            </w:pPr>
          </w:p>
        </w:tc>
        <w:tc>
          <w:tcPr>
            <w:tcW w:w="10278" w:type="dxa"/>
          </w:tcPr>
          <w:p w:rsidR="00FA5DF8" w:rsidRDefault="00376A3D">
            <w:pPr>
              <w:pStyle w:val="normal0"/>
              <w:spacing w:before="120" w:after="120" w:line="264" w:lineRule="auto"/>
              <w:contextualSpacing w:val="0"/>
            </w:pPr>
            <w:r>
              <w:t>There is a doorway, a heavy curtain</w:t>
            </w:r>
            <w:proofErr w:type="gramStart"/>
            <w:r>
              <w:t>,  a</w:t>
            </w:r>
            <w:proofErr w:type="gramEnd"/>
            <w:r>
              <w:t xml:space="preserve"> ghost-like man and woman. There is an absence of color, except for the principal figures: Macbeth and Lady Macbeth</w:t>
            </w:r>
            <w:r>
              <w:t xml:space="preserve">. The darkness contrasted with the ghostlike darkness suggests death and macabre tone. </w:t>
            </w:r>
          </w:p>
          <w:p w:rsidR="00FA5DF8" w:rsidRDefault="00FA5DF8">
            <w:pPr>
              <w:pStyle w:val="normal0"/>
              <w:spacing w:before="120" w:after="120" w:line="264" w:lineRule="auto"/>
              <w:contextualSpacing w:val="0"/>
            </w:pPr>
          </w:p>
        </w:tc>
      </w:tr>
      <w:tr w:rsidR="00FA5DF8">
        <w:tc>
          <w:tcPr>
            <w:tcW w:w="738" w:type="dxa"/>
            <w:vMerge w:val="restart"/>
            <w:shd w:val="clear" w:color="auto" w:fill="BFBFBF"/>
          </w:tcPr>
          <w:p w:rsidR="00FA5DF8" w:rsidRDefault="00376A3D">
            <w:pPr>
              <w:pStyle w:val="normal0"/>
              <w:spacing w:before="120" w:after="120" w:line="264" w:lineRule="auto"/>
              <w:contextualSpacing w:val="0"/>
              <w:jc w:val="center"/>
            </w:pPr>
            <w:r>
              <w:rPr>
                <w:b/>
                <w:sz w:val="72"/>
                <w:szCs w:val="72"/>
              </w:rPr>
              <w:t>T</w:t>
            </w:r>
          </w:p>
        </w:tc>
        <w:tc>
          <w:tcPr>
            <w:tcW w:w="10278" w:type="dxa"/>
          </w:tcPr>
          <w:p w:rsidR="00FA5DF8" w:rsidRDefault="00376A3D">
            <w:pPr>
              <w:pStyle w:val="normal0"/>
              <w:spacing w:before="120" w:after="120" w:line="264" w:lineRule="auto"/>
              <w:contextualSpacing w:val="0"/>
            </w:pPr>
            <w:r>
              <w:rPr>
                <w:b/>
              </w:rPr>
              <w:t xml:space="preserve">T </w:t>
            </w:r>
            <w:r>
              <w:t xml:space="preserve">is for </w:t>
            </w:r>
            <w:r>
              <w:rPr>
                <w:b/>
              </w:rPr>
              <w:t xml:space="preserve">Title. </w:t>
            </w:r>
            <w:r>
              <w:t>Read the title or caption of the visual (if present) for added information.</w:t>
            </w:r>
          </w:p>
        </w:tc>
      </w:tr>
      <w:tr w:rsidR="00FA5DF8">
        <w:tc>
          <w:tcPr>
            <w:tcW w:w="738" w:type="dxa"/>
            <w:vMerge/>
            <w:shd w:val="clear" w:color="auto" w:fill="BFBFBF"/>
          </w:tcPr>
          <w:p w:rsidR="00FA5DF8" w:rsidRDefault="00FA5DF8">
            <w:pPr>
              <w:pStyle w:val="normal0"/>
              <w:spacing w:before="120" w:after="120" w:line="264" w:lineRule="auto"/>
              <w:contextualSpacing w:val="0"/>
              <w:jc w:val="center"/>
            </w:pPr>
          </w:p>
        </w:tc>
        <w:tc>
          <w:tcPr>
            <w:tcW w:w="10278" w:type="dxa"/>
          </w:tcPr>
          <w:p w:rsidR="00FA5DF8" w:rsidRDefault="00376A3D">
            <w:pPr>
              <w:pStyle w:val="normal0"/>
              <w:spacing w:before="120" w:after="120" w:line="264" w:lineRule="auto"/>
              <w:contextualSpacing w:val="0"/>
            </w:pPr>
            <w:r>
              <w:t>The title suggests that Lady Macbeth has the bloody daggers.</w:t>
            </w:r>
          </w:p>
          <w:p w:rsidR="00FA5DF8" w:rsidRDefault="00FA5DF8">
            <w:pPr>
              <w:pStyle w:val="normal0"/>
              <w:spacing w:before="120" w:after="120" w:line="264" w:lineRule="auto"/>
              <w:contextualSpacing w:val="0"/>
            </w:pPr>
          </w:p>
        </w:tc>
      </w:tr>
      <w:tr w:rsidR="00FA5DF8">
        <w:tc>
          <w:tcPr>
            <w:tcW w:w="738" w:type="dxa"/>
            <w:vMerge w:val="restart"/>
            <w:shd w:val="clear" w:color="auto" w:fill="BFBFBF"/>
          </w:tcPr>
          <w:p w:rsidR="00FA5DF8" w:rsidRDefault="00376A3D">
            <w:pPr>
              <w:pStyle w:val="normal0"/>
              <w:spacing w:before="120" w:after="120" w:line="264" w:lineRule="auto"/>
              <w:contextualSpacing w:val="0"/>
              <w:jc w:val="center"/>
            </w:pPr>
            <w:r>
              <w:rPr>
                <w:b/>
                <w:sz w:val="72"/>
                <w:szCs w:val="72"/>
              </w:rPr>
              <w:t>I</w:t>
            </w:r>
          </w:p>
        </w:tc>
        <w:tc>
          <w:tcPr>
            <w:tcW w:w="10278" w:type="dxa"/>
          </w:tcPr>
          <w:p w:rsidR="00FA5DF8" w:rsidRDefault="00376A3D">
            <w:pPr>
              <w:pStyle w:val="normal0"/>
              <w:spacing w:before="120" w:after="120" w:line="264" w:lineRule="auto"/>
              <w:contextualSpacing w:val="0"/>
            </w:pPr>
            <w:r>
              <w:rPr>
                <w:b/>
              </w:rPr>
              <w:t xml:space="preserve">I </w:t>
            </w:r>
            <w:proofErr w:type="gramStart"/>
            <w:r>
              <w:t>is</w:t>
            </w:r>
            <w:proofErr w:type="gramEnd"/>
            <w:r>
              <w:t xml:space="preserve"> for</w:t>
            </w:r>
            <w:r>
              <w:rPr>
                <w:b/>
              </w:rPr>
              <w:t xml:space="preserve"> Interrelationships. </w:t>
            </w:r>
            <w:r>
              <w:t>Use the words in the title or caption and the individual parts of the visual to determine connections and relationships within the graphic.</w:t>
            </w:r>
          </w:p>
        </w:tc>
      </w:tr>
      <w:tr w:rsidR="00FA5DF8">
        <w:tc>
          <w:tcPr>
            <w:tcW w:w="738" w:type="dxa"/>
            <w:vMerge/>
            <w:shd w:val="clear" w:color="auto" w:fill="BFBFBF"/>
          </w:tcPr>
          <w:p w:rsidR="00FA5DF8" w:rsidRDefault="00FA5DF8">
            <w:pPr>
              <w:pStyle w:val="normal0"/>
              <w:spacing w:before="120" w:after="120" w:line="264" w:lineRule="auto"/>
              <w:contextualSpacing w:val="0"/>
              <w:jc w:val="center"/>
            </w:pPr>
          </w:p>
        </w:tc>
        <w:tc>
          <w:tcPr>
            <w:tcW w:w="10278" w:type="dxa"/>
          </w:tcPr>
          <w:p w:rsidR="00FA5DF8" w:rsidRDefault="00376A3D">
            <w:pPr>
              <w:pStyle w:val="normal0"/>
              <w:spacing w:before="120" w:after="120" w:line="264" w:lineRule="auto"/>
              <w:contextualSpacing w:val="0"/>
            </w:pPr>
            <w:r>
              <w:t xml:space="preserve">Macbeth enters through a doorway. He holds daggers and appears shrunken and nude or skeletal. Lady Macbeth greets him and suggests that he remain quiet. She is also ghostly in appearance. The black background serves as the cloak of night, and Lady Macbeth </w:t>
            </w:r>
            <w:r>
              <w:t>and Macbeth appear ghostly against the background. Lady Macbeth has a larger presence in the painting suggesting her dominance and her role as a driving force in the murder.</w:t>
            </w:r>
          </w:p>
        </w:tc>
      </w:tr>
      <w:tr w:rsidR="00FA5DF8">
        <w:tc>
          <w:tcPr>
            <w:tcW w:w="738" w:type="dxa"/>
            <w:vMerge w:val="restart"/>
            <w:shd w:val="clear" w:color="auto" w:fill="BFBFBF"/>
          </w:tcPr>
          <w:p w:rsidR="00FA5DF8" w:rsidRDefault="00376A3D">
            <w:pPr>
              <w:pStyle w:val="normal0"/>
              <w:spacing w:before="120" w:after="120" w:line="264" w:lineRule="auto"/>
              <w:contextualSpacing w:val="0"/>
              <w:jc w:val="center"/>
            </w:pPr>
            <w:r>
              <w:rPr>
                <w:b/>
                <w:sz w:val="72"/>
                <w:szCs w:val="72"/>
              </w:rPr>
              <w:t>C</w:t>
            </w:r>
          </w:p>
        </w:tc>
        <w:tc>
          <w:tcPr>
            <w:tcW w:w="10278" w:type="dxa"/>
          </w:tcPr>
          <w:p w:rsidR="00FA5DF8" w:rsidRDefault="00376A3D">
            <w:pPr>
              <w:pStyle w:val="normal0"/>
              <w:spacing w:before="120" w:after="120" w:line="264" w:lineRule="auto"/>
              <w:contextualSpacing w:val="0"/>
            </w:pPr>
            <w:r>
              <w:rPr>
                <w:b/>
              </w:rPr>
              <w:t xml:space="preserve">C </w:t>
            </w:r>
            <w:r>
              <w:t>is for</w:t>
            </w:r>
            <w:r>
              <w:rPr>
                <w:b/>
              </w:rPr>
              <w:t xml:space="preserve"> Conclusion. </w:t>
            </w:r>
            <w:r>
              <w:t>Draw a conclusion about the meaning of the visual as a who</w:t>
            </w:r>
            <w:r>
              <w:t>le. Summarize the message in one or two sentences.</w:t>
            </w:r>
          </w:p>
        </w:tc>
      </w:tr>
      <w:tr w:rsidR="00FA5DF8">
        <w:trPr>
          <w:trHeight w:val="460"/>
        </w:trPr>
        <w:tc>
          <w:tcPr>
            <w:tcW w:w="738" w:type="dxa"/>
            <w:vMerge/>
            <w:shd w:val="clear" w:color="auto" w:fill="BFBFBF"/>
          </w:tcPr>
          <w:p w:rsidR="00FA5DF8" w:rsidRDefault="00FA5DF8">
            <w:pPr>
              <w:pStyle w:val="normal0"/>
              <w:spacing w:before="120" w:after="120" w:line="264" w:lineRule="auto"/>
              <w:contextualSpacing w:val="0"/>
            </w:pPr>
          </w:p>
        </w:tc>
        <w:tc>
          <w:tcPr>
            <w:tcW w:w="10278" w:type="dxa"/>
          </w:tcPr>
          <w:p w:rsidR="00FA5DF8" w:rsidRDefault="00376A3D">
            <w:pPr>
              <w:pStyle w:val="normal0"/>
              <w:spacing w:before="120" w:after="120" w:line="264" w:lineRule="auto"/>
              <w:contextualSpacing w:val="0"/>
            </w:pPr>
            <w:bookmarkStart w:id="0" w:name="_gjdgxs" w:colFirst="0" w:colLast="0"/>
            <w:bookmarkEnd w:id="0"/>
            <w:r>
              <w:t xml:space="preserve">Macbeth has committed a deed that he cannot undo and appears to be terrified. Lady Macbeth urges him across the threshold into the darkness of their new lives. </w:t>
            </w:r>
          </w:p>
        </w:tc>
      </w:tr>
    </w:tbl>
    <w:p w:rsidR="00FA5DF8" w:rsidRDefault="00FA5DF8">
      <w:pPr>
        <w:pStyle w:val="normal0"/>
      </w:pPr>
      <w:bookmarkStart w:id="1" w:name="_30j0zll" w:colFirst="0" w:colLast="0"/>
      <w:bookmarkEnd w:id="1"/>
    </w:p>
    <w:sectPr w:rsidR="00FA5DF8" w:rsidSect="00FA5DF8">
      <w:headerReference w:type="default" r:id="rId6"/>
      <w:footerReference w:type="default" r:id="rId7"/>
      <w:pgSz w:w="12240" w:h="15840"/>
      <w:pgMar w:top="198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A3D" w:rsidRDefault="00376A3D" w:rsidP="00FA5DF8">
      <w:r>
        <w:separator/>
      </w:r>
    </w:p>
  </w:endnote>
  <w:endnote w:type="continuationSeparator" w:id="0">
    <w:p w:rsidR="00376A3D" w:rsidRDefault="00376A3D" w:rsidP="00FA5D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F8" w:rsidRDefault="00376A3D">
    <w:pPr>
      <w:pStyle w:val="normal0"/>
      <w:tabs>
        <w:tab w:val="center" w:pos="4680"/>
        <w:tab w:val="right" w:pos="9360"/>
      </w:tabs>
      <w:spacing w:after="720"/>
      <w:jc w:val="right"/>
    </w:pPr>
    <w:r>
      <w:rPr>
        <w:b/>
        <w:sz w:val="24"/>
        <w:szCs w:val="24"/>
      </w:rPr>
      <w:t xml:space="preserve"> Grade 10:  Macbeth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A3D" w:rsidRDefault="00376A3D" w:rsidP="00FA5DF8">
      <w:r>
        <w:separator/>
      </w:r>
    </w:p>
  </w:footnote>
  <w:footnote w:type="continuationSeparator" w:id="0">
    <w:p w:rsidR="00376A3D" w:rsidRDefault="00376A3D" w:rsidP="00FA5DF8">
      <w:r>
        <w:continuationSeparator/>
      </w:r>
    </w:p>
  </w:footnote>
  <w:footnote w:id="1">
    <w:p w:rsidR="00FA5DF8" w:rsidRDefault="00376A3D">
      <w:pPr>
        <w:pStyle w:val="normal0"/>
      </w:pPr>
      <w:r>
        <w:rPr>
          <w:vertAlign w:val="superscript"/>
        </w:rPr>
        <w:footnoteRef/>
      </w:r>
      <w:r>
        <w:rPr>
          <w:sz w:val="20"/>
          <w:szCs w:val="20"/>
        </w:rPr>
        <w:t xml:space="preserve"> </w:t>
      </w:r>
      <w:proofErr w:type="gramStart"/>
      <w:r>
        <w:rPr>
          <w:sz w:val="18"/>
          <w:szCs w:val="18"/>
        </w:rPr>
        <w:t xml:space="preserve">Adapted from </w:t>
      </w:r>
      <w:proofErr w:type="spellStart"/>
      <w:r>
        <w:rPr>
          <w:rFonts w:ascii="Arial" w:eastAsia="Arial" w:hAnsi="Arial" w:cs="Arial"/>
          <w:sz w:val="18"/>
          <w:szCs w:val="18"/>
          <w:highlight w:val="white"/>
        </w:rPr>
        <w:t>Pauk</w:t>
      </w:r>
      <w:proofErr w:type="spellEnd"/>
      <w:r>
        <w:rPr>
          <w:rFonts w:ascii="Arial" w:eastAsia="Arial" w:hAnsi="Arial" w:cs="Arial"/>
          <w:sz w:val="18"/>
          <w:szCs w:val="18"/>
          <w:highlight w:val="white"/>
        </w:rPr>
        <w:t>, W. (2000).</w:t>
      </w:r>
      <w:proofErr w:type="gramEnd"/>
      <w:r>
        <w:rPr>
          <w:rFonts w:ascii="Arial" w:eastAsia="Arial" w:hAnsi="Arial" w:cs="Arial"/>
          <w:sz w:val="18"/>
          <w:szCs w:val="18"/>
          <w:highlight w:val="white"/>
        </w:rPr>
        <w:t> </w:t>
      </w:r>
      <w:r>
        <w:rPr>
          <w:rFonts w:ascii="Arial" w:eastAsia="Arial" w:hAnsi="Arial" w:cs="Arial"/>
          <w:i/>
          <w:sz w:val="18"/>
          <w:szCs w:val="18"/>
          <w:highlight w:val="white"/>
        </w:rPr>
        <w:t>How to study in college</w:t>
      </w:r>
      <w:r>
        <w:rPr>
          <w:rFonts w:ascii="Arial" w:eastAsia="Arial" w:hAnsi="Arial" w:cs="Arial"/>
          <w:sz w:val="18"/>
          <w:szCs w:val="18"/>
          <w:highlight w:val="white"/>
        </w:rPr>
        <w:t xml:space="preserve"> (7th </w:t>
      </w:r>
      <w:proofErr w:type="gramStart"/>
      <w:r>
        <w:rPr>
          <w:rFonts w:ascii="Arial" w:eastAsia="Arial" w:hAnsi="Arial" w:cs="Arial"/>
          <w:sz w:val="18"/>
          <w:szCs w:val="18"/>
          <w:highlight w:val="white"/>
        </w:rPr>
        <w:t>ed</w:t>
      </w:r>
      <w:proofErr w:type="gramEnd"/>
      <w:r>
        <w:rPr>
          <w:rFonts w:ascii="Arial" w:eastAsia="Arial" w:hAnsi="Arial" w:cs="Arial"/>
          <w:sz w:val="18"/>
          <w:szCs w:val="18"/>
          <w:highlight w:val="white"/>
        </w:rPr>
        <w:t>.). Houghton Mifflin Company: Boston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F8" w:rsidRDefault="00376A3D">
    <w:pPr>
      <w:pStyle w:val="normal0"/>
      <w:tabs>
        <w:tab w:val="center" w:pos="4680"/>
        <w:tab w:val="right" w:pos="9360"/>
      </w:tabs>
      <w:spacing w:before="720"/>
    </w:pPr>
    <w:r>
      <w:rPr>
        <w:noProof/>
      </w:rPr>
      <w:drawing>
        <wp:inline distT="0" distB="0" distL="0" distR="0">
          <wp:extent cx="6858000" cy="700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858000" cy="700975"/>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FA5DF8"/>
    <w:rsid w:val="00376A3D"/>
    <w:rsid w:val="007344FF"/>
    <w:rsid w:val="00C20998"/>
    <w:rsid w:val="00FA5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A5DF8"/>
    <w:pPr>
      <w:keepNext/>
      <w:keepLines/>
      <w:spacing w:before="480" w:after="120"/>
      <w:outlineLvl w:val="0"/>
    </w:pPr>
    <w:rPr>
      <w:b/>
      <w:sz w:val="48"/>
      <w:szCs w:val="48"/>
    </w:rPr>
  </w:style>
  <w:style w:type="paragraph" w:styleId="Heading2">
    <w:name w:val="heading 2"/>
    <w:basedOn w:val="normal0"/>
    <w:next w:val="normal0"/>
    <w:rsid w:val="00FA5DF8"/>
    <w:pPr>
      <w:keepNext/>
      <w:keepLines/>
      <w:spacing w:before="360" w:after="80"/>
      <w:outlineLvl w:val="1"/>
    </w:pPr>
    <w:rPr>
      <w:b/>
      <w:sz w:val="36"/>
      <w:szCs w:val="36"/>
    </w:rPr>
  </w:style>
  <w:style w:type="paragraph" w:styleId="Heading3">
    <w:name w:val="heading 3"/>
    <w:basedOn w:val="normal0"/>
    <w:next w:val="normal0"/>
    <w:rsid w:val="00FA5DF8"/>
    <w:pPr>
      <w:keepNext/>
      <w:keepLines/>
      <w:spacing w:before="280" w:after="80"/>
      <w:outlineLvl w:val="2"/>
    </w:pPr>
    <w:rPr>
      <w:b/>
      <w:sz w:val="28"/>
      <w:szCs w:val="28"/>
    </w:rPr>
  </w:style>
  <w:style w:type="paragraph" w:styleId="Heading4">
    <w:name w:val="heading 4"/>
    <w:basedOn w:val="normal0"/>
    <w:next w:val="normal0"/>
    <w:rsid w:val="00FA5DF8"/>
    <w:pPr>
      <w:keepNext/>
      <w:keepLines/>
      <w:spacing w:before="240" w:after="40"/>
      <w:outlineLvl w:val="3"/>
    </w:pPr>
    <w:rPr>
      <w:b/>
      <w:sz w:val="24"/>
      <w:szCs w:val="24"/>
    </w:rPr>
  </w:style>
  <w:style w:type="paragraph" w:styleId="Heading5">
    <w:name w:val="heading 5"/>
    <w:basedOn w:val="normal0"/>
    <w:next w:val="normal0"/>
    <w:rsid w:val="00FA5DF8"/>
    <w:pPr>
      <w:keepNext/>
      <w:keepLines/>
      <w:spacing w:before="220" w:after="40"/>
      <w:outlineLvl w:val="4"/>
    </w:pPr>
    <w:rPr>
      <w:b/>
    </w:rPr>
  </w:style>
  <w:style w:type="paragraph" w:styleId="Heading6">
    <w:name w:val="heading 6"/>
    <w:basedOn w:val="normal0"/>
    <w:next w:val="normal0"/>
    <w:rsid w:val="00FA5D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A5DF8"/>
  </w:style>
  <w:style w:type="paragraph" w:styleId="Title">
    <w:name w:val="Title"/>
    <w:basedOn w:val="normal0"/>
    <w:next w:val="normal0"/>
    <w:rsid w:val="00FA5DF8"/>
    <w:pPr>
      <w:keepNext/>
      <w:keepLines/>
      <w:spacing w:after="300"/>
    </w:pPr>
    <w:rPr>
      <w:rFonts w:ascii="Cambria" w:eastAsia="Cambria" w:hAnsi="Cambria" w:cs="Cambria"/>
      <w:sz w:val="52"/>
      <w:szCs w:val="52"/>
    </w:rPr>
  </w:style>
  <w:style w:type="paragraph" w:styleId="Subtitle">
    <w:name w:val="Subtitle"/>
    <w:basedOn w:val="normal0"/>
    <w:next w:val="normal0"/>
    <w:rsid w:val="00FA5DF8"/>
    <w:pPr>
      <w:keepNext/>
      <w:keepLines/>
      <w:spacing w:before="360" w:after="80"/>
    </w:pPr>
    <w:rPr>
      <w:rFonts w:ascii="Georgia" w:eastAsia="Georgia" w:hAnsi="Georgia" w:cs="Georgia"/>
      <w:i/>
      <w:color w:val="666666"/>
      <w:sz w:val="48"/>
      <w:szCs w:val="48"/>
    </w:rPr>
  </w:style>
  <w:style w:type="table" w:customStyle="1" w:styleId="a">
    <w:basedOn w:val="TableNormal"/>
    <w:rsid w:val="00FA5DF8"/>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344FF"/>
    <w:rPr>
      <w:rFonts w:ascii="Tahoma" w:hAnsi="Tahoma" w:cs="Tahoma"/>
      <w:sz w:val="16"/>
      <w:szCs w:val="16"/>
    </w:rPr>
  </w:style>
  <w:style w:type="character" w:customStyle="1" w:styleId="BalloonTextChar">
    <w:name w:val="Balloon Text Char"/>
    <w:basedOn w:val="DefaultParagraphFont"/>
    <w:link w:val="BalloonText"/>
    <w:uiPriority w:val="99"/>
    <w:semiHidden/>
    <w:rsid w:val="00734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Company>Claiborne Parish School District</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Ciaira Washington</cp:lastModifiedBy>
  <cp:revision>2</cp:revision>
  <dcterms:created xsi:type="dcterms:W3CDTF">2017-09-20T14:53:00Z</dcterms:created>
  <dcterms:modified xsi:type="dcterms:W3CDTF">2017-09-20T14:53:00Z</dcterms:modified>
</cp:coreProperties>
</file>