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Comparing Film Adaptations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Macbeth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444500</wp:posOffset>
                </wp:positionH>
                <wp:positionV relativeFrom="paragraph">
                  <wp:posOffset>304800</wp:posOffset>
                </wp:positionV>
                <wp:extent cx="8483600" cy="40640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116900" y="1757525"/>
                          <a:ext cx="8458200" cy="4044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Guiding Questions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Sound  Elements: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Sound effects, background noise in the scene (e.g., doors creaking, animal noises);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Soundtrack, music, voiceovers and other sounds put on over the scene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Language  Elements: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lines are emphasized?  How are emotions conveyed?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lines are noticeably cut or included?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Physical  Elements: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(Settings, props, and costumes)  Where is the scene taking place physically?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do props and costumes tell us about the time period, about the characters and their standings?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Camera  Elements: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long does the director stay with shots?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often are there cuts and transitions?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When does the camera take the view of a character?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When are there close ups, long shots?  To what effect?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 Big  Questions: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is the effect of each of these aspects on the scene?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does each director establish a tone for the rest of the play?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</wp:posOffset>
                </wp:positionH>
                <wp:positionV relativeFrom="paragraph">
                  <wp:posOffset>304800</wp:posOffset>
                </wp:positionV>
                <wp:extent cx="8483600" cy="40640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600" cy="406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3b4046"/>
          <w:rtl w:val="0"/>
        </w:rPr>
        <w:t xml:space="preserve">When viewing film, you must pay careful attention to the choices the director makes in bringing a portrayal to the screen.  This graphic organizer will help you note specific elements of each version.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6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8"/>
        <w:gridCol w:w="10818"/>
        <w:tblGridChange w:id="0">
          <w:tblGrid>
            <w:gridCol w:w="3798"/>
            <w:gridCol w:w="10818"/>
          </w:tblGrid>
        </w:tblGridChange>
      </w:tblGrid>
      <w:tr>
        <w:tc>
          <w:tcPr>
            <w:shd w:fill="bfbfb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Version (Director, Year)</w:t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Sound Elements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Language Elements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Physical Elements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Camera Elements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720" w:top="198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color w:val="00000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2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  <w:rtl w:val="0"/>
      </w:rPr>
      <w:t xml:space="preserve">Grade 10: Macbeth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114300" distR="114300">
          <wp:extent cx="9180195" cy="70358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80195" cy="703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