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24"/>
          <w:szCs w:val="24"/>
        </w:rPr>
      </w:pPr>
      <w:bookmarkStart w:colFirst="0" w:colLast="0" w:name="_6ywg8tvuvdyc" w:id="0"/>
      <w:bookmarkEnd w:id="0"/>
      <w:r w:rsidDel="00000000" w:rsidR="00000000" w:rsidRPr="00000000">
        <w:rPr>
          <w:b w:val="1"/>
          <w:sz w:val="24"/>
          <w:szCs w:val="24"/>
          <w:rtl w:val="0"/>
        </w:rPr>
        <w:t xml:space="preserve">Dialectical Journal for Chapter 14 of </w:t>
      </w:r>
      <w:r w:rsidDel="00000000" w:rsidR="00000000" w:rsidRPr="00000000">
        <w:rPr>
          <w:b w:val="1"/>
          <w:i w:val="1"/>
          <w:sz w:val="24"/>
          <w:szCs w:val="24"/>
          <w:rtl w:val="0"/>
        </w:rPr>
        <w:t xml:space="preserve">The Jungle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24"/>
          <w:szCs w:val="24"/>
        </w:rPr>
      </w:pPr>
      <w:bookmarkStart w:colFirst="0" w:colLast="0" w:name="_gjdgxs" w:id="1"/>
      <w:bookmarkEnd w:id="1"/>
      <w:r w:rsidDel="00000000" w:rsidR="00000000" w:rsidRPr="00000000">
        <w:rPr>
          <w:rtl w:val="0"/>
        </w:rPr>
      </w:r>
    </w:p>
    <w:tbl>
      <w:tblPr>
        <w:tblStyle w:val="Table1"/>
        <w:tblW w:w="108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95"/>
        <w:gridCol w:w="5580"/>
        <w:tblGridChange w:id="0">
          <w:tblGrid>
            <w:gridCol w:w="5295"/>
            <w:gridCol w:w="5580"/>
          </w:tblGrid>
        </w:tblGridChange>
      </w:tblGrid>
      <w:tr>
        <w:trPr>
          <w:trHeight w:val="240" w:hRule="atLeast"/>
        </w:trPr>
        <w:tc>
          <w:tcPr>
            <w:shd w:fill="bfbfbf"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Quotation and paragraph number</w:t>
            </w:r>
          </w:p>
        </w:tc>
        <w:tc>
          <w:tcPr>
            <w:shd w:fill="bfbfbf"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Interpretation/commentary</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276" w:lineRule="auto"/>
              <w:ind w:right="135" w:firstLine="330"/>
              <w:contextualSpacing w:val="0"/>
              <w:rPr>
                <w:b w:val="1"/>
                <w:sz w:val="24"/>
                <w:szCs w:val="24"/>
              </w:rPr>
            </w:pPr>
            <w:r w:rsidDel="00000000" w:rsidR="00000000" w:rsidRPr="00000000">
              <w:rPr>
                <w:rtl w:val="0"/>
              </w:rPr>
              <w:t xml:space="preserve">“There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w:t>
            </w:r>
            <w:r w:rsidDel="00000000" w:rsidR="00000000" w:rsidRPr="00000000">
              <w:rPr>
                <w:b w:val="1"/>
                <w:sz w:val="24"/>
                <w:szCs w:val="24"/>
                <w:rtl w:val="0"/>
              </w:rPr>
              <w:t xml:space="preserve"> (paragraph 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240" w:lineRule="auto"/>
              <w:contextualSpacing w:val="0"/>
              <w:rPr>
                <w:sz w:val="24"/>
                <w:szCs w:val="24"/>
              </w:rPr>
            </w:pPr>
            <w:r w:rsidDel="00000000" w:rsidR="00000000" w:rsidRPr="00000000">
              <w:rPr>
                <w:sz w:val="24"/>
                <w:szCs w:val="24"/>
                <w:rtl w:val="0"/>
              </w:rPr>
              <w:t xml:space="preserve">Sinclair’s use of imagery prompts the reader to feel  disgust  and anger.  The revelation of the deplorable conditions in the meatpacking industry  no doubt ignited protest and calls for change.  In this graphic depiction, Sinclair achieves his purpose in two ways: he highlights the plight of the workers and the danger of consuming the product that would be sold to consumers.  Thus, he plays both on the reader’s concern for himself and his fellow man. </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276" w:lineRule="auto"/>
              <w:ind w:right="45" w:firstLine="60"/>
              <w:contextualSpacing w:val="0"/>
              <w:rPr>
                <w:b w:val="1"/>
                <w:sz w:val="24"/>
                <w:szCs w:val="24"/>
              </w:rPr>
            </w:pPr>
            <w:r w:rsidDel="00000000" w:rsidR="00000000" w:rsidRPr="00000000">
              <w:rPr>
                <w:rtl w:val="0"/>
              </w:rPr>
              <w:t xml:space="preserve">“He was working in the steaming pit of hell; day after day, week after week—until now, there was not an organ of his body that did its work without pain, until the sound of ocean breakers echoed in his head day and night, and the buildings swayed and danced before him as he went down the street. And from all the unending horror of this there was a respite, a deliverance—he could drink!</w:t>
            </w:r>
            <w:r w:rsidDel="00000000" w:rsidR="00000000" w:rsidRPr="00000000">
              <w:rPr>
                <w:sz w:val="24"/>
                <w:szCs w:val="24"/>
                <w:rtl w:val="0"/>
              </w:rPr>
              <w:t xml:space="preserve">”</w:t>
            </w:r>
            <w:r w:rsidDel="00000000" w:rsidR="00000000" w:rsidRPr="00000000">
              <w:rPr>
                <w:b w:val="1"/>
                <w:sz w:val="24"/>
                <w:szCs w:val="24"/>
                <w:rtl w:val="0"/>
              </w:rPr>
              <w:t xml:space="preserve"> (paragraph 8)</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240" w:lineRule="auto"/>
              <w:contextualSpacing w:val="0"/>
              <w:rPr>
                <w:sz w:val="24"/>
                <w:szCs w:val="24"/>
              </w:rPr>
            </w:pPr>
            <w:r w:rsidDel="00000000" w:rsidR="00000000" w:rsidRPr="00000000">
              <w:rPr>
                <w:sz w:val="24"/>
                <w:szCs w:val="24"/>
                <w:rtl w:val="0"/>
              </w:rPr>
              <w:t xml:space="preserve">Here, Sinclair uses both imagery and personification to illicit an emotional response from the reader. By describing Jurgis is work as “the pit of hell,” Sinclair further stirs the reader’s outrage at the deplorable working conditions in the meatpacking industry. Sinclair’s use of personification, stating that buildings “swayed and danced” allows the reader to feel Jurgis’s despair and defeat. </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276" w:lineRule="auto"/>
              <w:ind w:right="-45" w:hanging="30"/>
              <w:contextualSpacing w:val="0"/>
              <w:rPr>
                <w:b w:val="1"/>
                <w:sz w:val="24"/>
                <w:szCs w:val="24"/>
              </w:rPr>
            </w:pPr>
            <w:r w:rsidDel="00000000" w:rsidR="00000000" w:rsidRPr="00000000">
              <w:rPr>
                <w:rtl w:val="0"/>
              </w:rPr>
              <w:t xml:space="preserve">“ He would lie and scream for hours, almost in convulsions; and then, when he was worn out, he would lie whimpering and wailing in his torment. He was burning up with fever, and his eyes were running sores; in the daytime he was a thing uncanny and impish to behold, a plaster of pimples and sweat, a great purple lump of misery.”</w:t>
            </w:r>
            <w:r w:rsidDel="00000000" w:rsidR="00000000" w:rsidRPr="00000000">
              <w:rPr>
                <w:b w:val="1"/>
                <w:rtl w:val="0"/>
              </w:rPr>
              <w:t xml:space="preserve"> (paragraph 12)</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240" w:lineRule="auto"/>
              <w:contextualSpacing w:val="0"/>
              <w:rPr>
                <w:sz w:val="24"/>
                <w:szCs w:val="24"/>
              </w:rPr>
            </w:pPr>
            <w:r w:rsidDel="00000000" w:rsidR="00000000" w:rsidRPr="00000000">
              <w:rPr>
                <w:sz w:val="24"/>
                <w:szCs w:val="24"/>
                <w:rtl w:val="0"/>
              </w:rPr>
              <w:t xml:space="preserve">Sinclair directly plays on the reader’s emotions by describing the pitiful condition of a young child, stricken with measles and unable to receive medical help. This would certainly prompt outrage from the reader, inspiring protest and demands for change, thus achieving Sinclair’s ultimate purpose.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rtl w:val="0"/>
        </w:rPr>
      </w:r>
    </w:p>
    <w:sectPr>
      <w:headerReference r:id="rId5" w:type="default"/>
      <w:footerReference r:id="rId6" w:type="default"/>
      <w:pgSz w:h="15840" w:w="12240"/>
      <w:pgMar w:bottom="720" w:top="198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20" w:lineRule="auto"/>
      <w:contextualSpacing w:val="0"/>
      <w:jc w:val="right"/>
      <w:rPr>
        <w:b w:val="1"/>
        <w:sz w:val="24"/>
        <w:szCs w:val="24"/>
      </w:rPr>
    </w:pPr>
    <w:r w:rsidDel="00000000" w:rsidR="00000000" w:rsidRPr="00000000">
      <w:rPr>
        <w:b w:val="1"/>
        <w:sz w:val="24"/>
        <w:szCs w:val="24"/>
        <w:rtl w:val="0"/>
      </w:rPr>
      <w:t xml:space="preserve">Grade 10: Rhetoric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rPr/>
    </w:pPr>
    <w:r w:rsidDel="00000000" w:rsidR="00000000" w:rsidRPr="00000000">
      <w:rPr>
        <w:rFonts w:ascii="Calibri" w:cs="Calibri" w:eastAsia="Calibri" w:hAnsi="Calibri"/>
        <w:b w:val="0"/>
        <w:sz w:val="22"/>
        <w:szCs w:val="22"/>
      </w:rPr>
      <w:drawing>
        <wp:inline distB="0" distT="0" distL="0" distR="0">
          <wp:extent cx="6858000" cy="7009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700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