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Activity One: Multiple Readings of a Visual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watch the book trailer for </w:t>
      </w:r>
      <w:r w:rsidDel="00000000" w:rsidR="00000000" w:rsidRPr="00000000">
        <w:rPr>
          <w:i w:val="1"/>
          <w:rtl w:val="0"/>
        </w:rPr>
        <w:t xml:space="preserve">The Immortal Life of Henrietta Lacks </w:t>
      </w:r>
      <w:r w:rsidDel="00000000" w:rsidR="00000000" w:rsidRPr="00000000">
        <w:rPr>
          <w:rtl w:val="0"/>
        </w:rPr>
        <w:t xml:space="preserve">by Rebecca Skloot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your first viewing, examine how Skloot’s describes people’s </w:t>
      </w:r>
      <w:r w:rsidDel="00000000" w:rsidR="00000000" w:rsidRPr="00000000">
        <w:rPr>
          <w:rtl w:val="0"/>
        </w:rPr>
        <w:t xml:space="preserve">reaction</w:t>
      </w:r>
      <w:r w:rsidDel="00000000" w:rsidR="00000000" w:rsidRPr="00000000">
        <w:rPr>
          <w:rtl w:val="0"/>
        </w:rPr>
        <w:t xml:space="preserve"> to the parts in her novel that tell the story of Henrietta Lacks and the parts that explain the science in the book. This will help you determine Skloot’s purpose.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7185"/>
        <w:tblGridChange w:id="0">
          <w:tblGrid>
            <w:gridCol w:w="6975"/>
            <w:gridCol w:w="7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Henrietta’s Story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Note how Skloot describes reactions to the people in her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Note how Skloot describes reactions to the science in her story</w:t>
            </w:r>
          </w:p>
        </w:tc>
      </w:tr>
      <w:tr>
        <w:trPr>
          <w:trHeight w:val="1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Considering Purpose</w:t>
      </w:r>
      <w:r w:rsidDel="00000000" w:rsidR="00000000" w:rsidRPr="00000000">
        <w:rPr>
          <w:rtl w:val="0"/>
        </w:rPr>
        <w:t xml:space="preserve">— Why did Skloot write this book?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 you think she wants her readers to take away from the book?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Write an argument about how Skloot’s writing was influenced by people’s reaction to her subject. Use your observations from the first viewing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When Skloot discussed the subject of her book, people had differing reactions. Some said 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__________________________________________________________________________; while others said 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_________________________________________________. This probably influenced Skloot’s writing by 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Viewing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you read a visual text, it is important to examine all of its parts: the images, and music. These details help build the video’s central idea.</w:t>
      </w:r>
    </w:p>
    <w:tbl>
      <w:tblPr>
        <w:tblStyle w:val="Table2"/>
        <w:bidiVisual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7275"/>
        <w:tblGridChange w:id="0">
          <w:tblGrid>
            <w:gridCol w:w="7110"/>
            <w:gridCol w:w="7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Music: </w:t>
            </w:r>
            <w:r w:rsidDel="00000000" w:rsidR="00000000" w:rsidRPr="00000000">
              <w:rPr>
                <w:rtl w:val="0"/>
              </w:rPr>
              <w:t xml:space="preserve">Describe the music used in the book trailer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Images: </w:t>
            </w:r>
            <w:r w:rsidDel="00000000" w:rsidR="00000000" w:rsidRPr="00000000">
              <w:rPr>
                <w:rtl w:val="0"/>
              </w:rPr>
              <w:t xml:space="preserve">List the images used in the book trailer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Purpose: </w:t>
            </w:r>
            <w:r w:rsidDel="00000000" w:rsidR="00000000" w:rsidRPr="00000000">
              <w:rPr>
                <w:rtl w:val="0"/>
              </w:rPr>
              <w:t xml:space="preserve">Describe the effect the music has on the book trailer.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Purpose: </w:t>
            </w:r>
            <w:r w:rsidDel="00000000" w:rsidR="00000000" w:rsidRPr="00000000">
              <w:rPr>
                <w:rtl w:val="0"/>
              </w:rPr>
              <w:t xml:space="preserve">Describe the effect of the images on the book trailer.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Considering Purpose</w:t>
      </w:r>
      <w:r w:rsidDel="00000000" w:rsidR="00000000" w:rsidRPr="00000000">
        <w:rPr>
          <w:rtl w:val="0"/>
        </w:rPr>
        <w:t xml:space="preserve">—Construct an argument about the effect the music and images have on the book trailer.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_________________________________________________ images and music </w:t>
      </w:r>
      <w:r w:rsidDel="00000000" w:rsidR="00000000" w:rsidRPr="00000000">
        <w:rPr>
          <w:rtl w:val="0"/>
        </w:rPr>
        <w:t xml:space="preserve">persuade the </w:t>
      </w:r>
      <w:r w:rsidDel="00000000" w:rsidR="00000000" w:rsidRPr="00000000">
        <w:rPr>
          <w:rtl w:val="0"/>
        </w:rPr>
        <w:t xml:space="preserve">audience by __________________________________________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___________________________________________________________. For example, __________________________________________________________ calls 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mind ______________________________________________________,  which the audience then connects with 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____________________ music also suggests ________________________________________________________, which the audience connects with Skloot’s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720" w:top="720" w:left="63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jc w:val="right"/>
    </w:pPr>
    <w:r w:rsidDel="00000000" w:rsidR="00000000" w:rsidRPr="00000000">
      <w:rPr>
        <w:b w:val="1"/>
        <w:sz w:val="24"/>
        <w:szCs w:val="24"/>
        <w:rtl w:val="0"/>
      </w:rPr>
      <w:t xml:space="preserve">Grade 10: Henrietta’s Dance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before="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9180195" cy="70358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0195" cy="703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